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6D1D" w14:textId="77777777" w:rsidR="00AE57C0" w:rsidRDefault="00000000">
      <w:pPr>
        <w:pBdr>
          <w:top w:val="nil"/>
          <w:left w:val="nil"/>
          <w:bottom w:val="nil"/>
          <w:right w:val="nil"/>
          <w:between w:val="nil"/>
        </w:pBdr>
        <w:spacing w:line="276" w:lineRule="auto"/>
        <w:ind w:left="0" w:hanging="2"/>
      </w:pPr>
      <w:r>
        <w:pict w14:anchorId="245F0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p>
    <w:p w14:paraId="2A08A5B0" w14:textId="77777777" w:rsidR="00AE57C0" w:rsidRDefault="00000000">
      <w:pPr>
        <w:pBdr>
          <w:top w:val="nil"/>
          <w:left w:val="nil"/>
          <w:bottom w:val="nil"/>
          <w:right w:val="nil"/>
          <w:between w:val="nil"/>
        </w:pBdr>
        <w:spacing w:line="240" w:lineRule="auto"/>
        <w:ind w:left="1" w:hanging="3"/>
        <w:jc w:val="center"/>
        <w:rPr>
          <w:color w:val="000000"/>
          <w:sz w:val="28"/>
          <w:szCs w:val="28"/>
        </w:rPr>
      </w:pPr>
      <w:r>
        <w:rPr>
          <w:rFonts w:eastAsia="Times New Roman"/>
          <w:b/>
          <w:color w:val="000000"/>
          <w:sz w:val="28"/>
          <w:szCs w:val="28"/>
        </w:rPr>
        <w:t>Paper Format for Proceedings of the 202</w:t>
      </w:r>
      <w:r>
        <w:rPr>
          <w:b/>
          <w:sz w:val="28"/>
          <w:szCs w:val="28"/>
        </w:rPr>
        <w:t>5</w:t>
      </w:r>
      <w:r>
        <w:rPr>
          <w:rFonts w:eastAsia="Times New Roman"/>
          <w:b/>
          <w:color w:val="000000"/>
          <w:sz w:val="28"/>
          <w:szCs w:val="28"/>
        </w:rPr>
        <w:t xml:space="preserve"> International Conference on Management and Service Innovation</w:t>
      </w:r>
      <w:r>
        <w:rPr>
          <w:rFonts w:eastAsia="Times New Roman"/>
          <w:b/>
          <w:color w:val="0000FF"/>
          <w:sz w:val="28"/>
          <w:szCs w:val="28"/>
        </w:rPr>
        <w:t xml:space="preserve"> </w:t>
      </w:r>
      <w:r>
        <w:rPr>
          <w:rFonts w:eastAsia="Times New Roman"/>
          <w:b/>
          <w:color w:val="000000"/>
          <w:sz w:val="28"/>
          <w:szCs w:val="28"/>
        </w:rPr>
        <w:t>(Title in 14-point Times News Roman font)</w:t>
      </w:r>
    </w:p>
    <w:p w14:paraId="28C91499" w14:textId="77777777" w:rsidR="00AE57C0" w:rsidRDefault="00AE57C0">
      <w:pPr>
        <w:pBdr>
          <w:top w:val="nil"/>
          <w:left w:val="nil"/>
          <w:bottom w:val="nil"/>
          <w:right w:val="nil"/>
          <w:between w:val="nil"/>
        </w:pBdr>
        <w:spacing w:line="240" w:lineRule="auto"/>
        <w:ind w:left="0" w:hanging="2"/>
        <w:rPr>
          <w:color w:val="000000"/>
        </w:rPr>
      </w:pPr>
    </w:p>
    <w:p w14:paraId="45280C3F" w14:textId="77777777" w:rsidR="00AE57C0" w:rsidRDefault="00000000">
      <w:pPr>
        <w:pBdr>
          <w:top w:val="nil"/>
          <w:left w:val="nil"/>
          <w:bottom w:val="nil"/>
          <w:right w:val="nil"/>
          <w:between w:val="nil"/>
        </w:pBdr>
        <w:spacing w:line="240" w:lineRule="auto"/>
        <w:ind w:left="0" w:hanging="2"/>
        <w:jc w:val="center"/>
        <w:rPr>
          <w:color w:val="000000"/>
        </w:rPr>
      </w:pPr>
      <w:r>
        <w:rPr>
          <w:rFonts w:eastAsia="Times New Roman"/>
          <w:color w:val="000000"/>
        </w:rPr>
        <w:t>Paper Author</w:t>
      </w:r>
      <w:r>
        <w:rPr>
          <w:rFonts w:eastAsia="Times New Roman"/>
          <w:color w:val="000000"/>
          <w:vertAlign w:val="superscript"/>
        </w:rPr>
        <w:t>1*</w:t>
      </w:r>
      <w:r>
        <w:rPr>
          <w:rFonts w:eastAsia="Times New Roman"/>
          <w:color w:val="000000"/>
        </w:rPr>
        <w:t xml:space="preserve"> Paper Author</w:t>
      </w:r>
      <w:r>
        <w:rPr>
          <w:rFonts w:eastAsia="Times New Roman"/>
          <w:color w:val="000000"/>
          <w:vertAlign w:val="superscript"/>
        </w:rPr>
        <w:t xml:space="preserve">2 </w:t>
      </w:r>
      <w:r>
        <w:rPr>
          <w:rFonts w:eastAsia="Times New Roman"/>
          <w:color w:val="000000"/>
        </w:rPr>
        <w:t>(List authors on this line using 12 point Times font)</w:t>
      </w:r>
    </w:p>
    <w:p w14:paraId="2C6A9E7C" w14:textId="77777777" w:rsidR="00AE57C0" w:rsidRDefault="00000000">
      <w:pPr>
        <w:pBdr>
          <w:top w:val="nil"/>
          <w:left w:val="nil"/>
          <w:bottom w:val="nil"/>
          <w:right w:val="nil"/>
          <w:between w:val="nil"/>
        </w:pBdr>
        <w:spacing w:line="240" w:lineRule="auto"/>
        <w:ind w:left="0" w:hanging="2"/>
        <w:jc w:val="center"/>
        <w:rPr>
          <w:color w:val="000000"/>
        </w:rPr>
      </w:pPr>
      <w:r>
        <w:rPr>
          <w:rFonts w:eastAsia="Times New Roman"/>
          <w:color w:val="000000"/>
          <w:vertAlign w:val="superscript"/>
        </w:rPr>
        <w:t>1</w:t>
      </w:r>
      <w:r>
        <w:rPr>
          <w:rFonts w:eastAsia="Times New Roman"/>
          <w:color w:val="000000"/>
        </w:rPr>
        <w:t>Author Affiliation (listed here in 12 point Times font)</w:t>
      </w:r>
    </w:p>
    <w:p w14:paraId="114ECD79" w14:textId="77777777" w:rsidR="00AE57C0" w:rsidRDefault="00000000">
      <w:pPr>
        <w:pBdr>
          <w:top w:val="nil"/>
          <w:left w:val="nil"/>
          <w:bottom w:val="nil"/>
          <w:right w:val="nil"/>
          <w:between w:val="nil"/>
        </w:pBdr>
        <w:spacing w:line="240" w:lineRule="auto"/>
        <w:ind w:left="0" w:hanging="2"/>
        <w:jc w:val="center"/>
        <w:rPr>
          <w:color w:val="000000"/>
        </w:rPr>
      </w:pPr>
      <w:r>
        <w:rPr>
          <w:rFonts w:eastAsia="Times New Roman"/>
          <w:color w:val="000000"/>
          <w:vertAlign w:val="superscript"/>
        </w:rPr>
        <w:t>2</w:t>
      </w:r>
      <w:r>
        <w:rPr>
          <w:rFonts w:eastAsia="Times New Roman"/>
          <w:color w:val="000000"/>
        </w:rPr>
        <w:t>Author Affiliation</w:t>
      </w:r>
    </w:p>
    <w:p w14:paraId="172D46F1" w14:textId="77777777" w:rsidR="00AE57C0" w:rsidRDefault="00000000">
      <w:pPr>
        <w:pBdr>
          <w:top w:val="nil"/>
          <w:left w:val="nil"/>
          <w:bottom w:val="nil"/>
          <w:right w:val="nil"/>
          <w:between w:val="nil"/>
        </w:pBdr>
        <w:spacing w:line="240" w:lineRule="auto"/>
        <w:ind w:left="0" w:hanging="2"/>
        <w:jc w:val="center"/>
        <w:rPr>
          <w:color w:val="000000"/>
        </w:rPr>
        <w:sectPr w:rsidR="00AE57C0">
          <w:pgSz w:w="11906" w:h="16838"/>
          <w:pgMar w:top="1440" w:right="1800" w:bottom="1440" w:left="1800" w:header="851" w:footer="992" w:gutter="0"/>
          <w:pgNumType w:start="1"/>
          <w:cols w:space="720"/>
        </w:sectPr>
      </w:pPr>
      <w:r>
        <w:rPr>
          <w:rFonts w:eastAsia="Times New Roman"/>
          <w:color w:val="000000"/>
        </w:rPr>
        <w:t xml:space="preserve">*Corresponding author’s e-mail address(listed here in 12 point Times font) </w:t>
      </w:r>
    </w:p>
    <w:p w14:paraId="3F0756EE" w14:textId="77777777" w:rsidR="00AE57C0" w:rsidRDefault="00000000">
      <w:pPr>
        <w:pBdr>
          <w:top w:val="nil"/>
          <w:left w:val="nil"/>
          <w:bottom w:val="nil"/>
          <w:right w:val="nil"/>
          <w:between w:val="nil"/>
        </w:pBdr>
        <w:spacing w:line="240" w:lineRule="auto"/>
        <w:ind w:left="0" w:hanging="2"/>
        <w:jc w:val="center"/>
        <w:rPr>
          <w:color w:val="000000"/>
          <w:sz w:val="20"/>
          <w:szCs w:val="20"/>
        </w:rPr>
      </w:pPr>
      <w:r>
        <w:rPr>
          <w:rFonts w:eastAsia="Times New Roman"/>
          <w:b/>
          <w:color w:val="000000"/>
          <w:sz w:val="20"/>
          <w:szCs w:val="20"/>
        </w:rPr>
        <w:t>Abstract</w:t>
      </w:r>
    </w:p>
    <w:p w14:paraId="179EB7F6"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 xml:space="preserve">These instructions give you basic guidelines for preparing papers for the conference. Papers up to 10 pages must be submitted using this format. This document is a template for Microsoft Word. If you are reading a paper version of this document, please download the electronic file from the Conference website so you can use it to prepare your manuscript. Please include appropriate key words in your abstract, in alphabetical order, separated by commas. Use 10 point Times New Roman font for your paper. </w:t>
      </w:r>
    </w:p>
    <w:p w14:paraId="3F04277E"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b/>
          <w:i/>
          <w:color w:val="000000"/>
          <w:sz w:val="20"/>
          <w:szCs w:val="20"/>
        </w:rPr>
        <w:t xml:space="preserve">Keywords </w:t>
      </w:r>
      <w:r>
        <w:rPr>
          <w:rFonts w:eastAsia="Times New Roman"/>
          <w:color w:val="000000"/>
          <w:sz w:val="20"/>
          <w:szCs w:val="20"/>
        </w:rPr>
        <w:t>(3~5words)</w:t>
      </w:r>
      <w:sdt>
        <w:sdtPr>
          <w:tag w:val="goog_rdk_0"/>
          <w:id w:val="-701245743"/>
        </w:sdtPr>
        <w:sdtContent>
          <w:r>
            <w:rPr>
              <w:rFonts w:ascii="Gungsuh" w:eastAsia="Gungsuh" w:hAnsi="Gungsuh" w:cs="Gungsuh"/>
              <w:b/>
              <w:i/>
              <w:color w:val="000000"/>
              <w:sz w:val="20"/>
              <w:szCs w:val="20"/>
            </w:rPr>
            <w:t>：</w:t>
          </w:r>
        </w:sdtContent>
      </w:sdt>
      <w:r>
        <w:rPr>
          <w:rFonts w:eastAsia="Times New Roman"/>
          <w:i/>
          <w:color w:val="000000"/>
          <w:sz w:val="20"/>
          <w:szCs w:val="20"/>
        </w:rPr>
        <w:t>Fonts, formatting, margins</w:t>
      </w:r>
    </w:p>
    <w:p w14:paraId="1D6BDF6C" w14:textId="77777777" w:rsidR="00AE57C0" w:rsidRDefault="00AE57C0">
      <w:pPr>
        <w:pBdr>
          <w:top w:val="nil"/>
          <w:left w:val="nil"/>
          <w:bottom w:val="nil"/>
          <w:right w:val="nil"/>
          <w:between w:val="nil"/>
        </w:pBdr>
        <w:spacing w:line="240" w:lineRule="auto"/>
        <w:ind w:left="0" w:hanging="2"/>
        <w:jc w:val="both"/>
        <w:rPr>
          <w:color w:val="000000"/>
          <w:sz w:val="20"/>
          <w:szCs w:val="20"/>
        </w:rPr>
      </w:pPr>
    </w:p>
    <w:p w14:paraId="4E66F31F" w14:textId="0958EDA2" w:rsidR="00AE57C0" w:rsidRDefault="00BC4E28" w:rsidP="00BC4E28">
      <w:pPr>
        <w:pBdr>
          <w:top w:val="nil"/>
          <w:left w:val="nil"/>
          <w:bottom w:val="nil"/>
          <w:right w:val="nil"/>
          <w:between w:val="nil"/>
        </w:pBdr>
        <w:spacing w:line="240" w:lineRule="auto"/>
        <w:ind w:leftChars="0" w:left="0" w:firstLineChars="0" w:firstLine="0"/>
        <w:jc w:val="center"/>
        <w:rPr>
          <w:color w:val="000000"/>
          <w:sz w:val="20"/>
          <w:szCs w:val="20"/>
        </w:rPr>
      </w:pPr>
      <w:r>
        <w:rPr>
          <w:rFonts w:hint="eastAsia"/>
          <w:b/>
          <w:color w:val="000000"/>
          <w:sz w:val="20"/>
          <w:szCs w:val="20"/>
        </w:rPr>
        <w:t>1.</w:t>
      </w:r>
      <w:r w:rsidR="00000000">
        <w:rPr>
          <w:rFonts w:eastAsia="Times New Roman"/>
          <w:b/>
          <w:color w:val="000000"/>
          <w:sz w:val="20"/>
          <w:szCs w:val="20"/>
        </w:rPr>
        <w:t>INTRODUCTION</w:t>
      </w:r>
    </w:p>
    <w:p w14:paraId="5E89D1A3"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This template has been modified slightly for use in IEEE. You may want to read through this entire document before you start creating your paper.  The following information is intended to help you prepare the Final Manuscript for submission to the Proceedings CD.</w:t>
      </w:r>
    </w:p>
    <w:p w14:paraId="683C5133"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 xml:space="preserve">Left and right-justify your columns. Use tables and figures to adjust column length. Use automatic hyphenation and check spelling. All figures, tables, and equations must be included in-line with the text. Do not use links to external files. </w:t>
      </w:r>
    </w:p>
    <w:p w14:paraId="6D03FC73" w14:textId="77777777" w:rsidR="00AE57C0" w:rsidRDefault="00AE57C0">
      <w:pPr>
        <w:pBdr>
          <w:top w:val="nil"/>
          <w:left w:val="nil"/>
          <w:bottom w:val="nil"/>
          <w:right w:val="nil"/>
          <w:between w:val="nil"/>
        </w:pBdr>
        <w:spacing w:line="240" w:lineRule="auto"/>
        <w:ind w:left="0" w:hanging="2"/>
        <w:jc w:val="both"/>
        <w:rPr>
          <w:color w:val="000000"/>
          <w:sz w:val="20"/>
          <w:szCs w:val="20"/>
        </w:rPr>
      </w:pPr>
    </w:p>
    <w:p w14:paraId="4CF8A955" w14:textId="45135353" w:rsidR="00AE57C0" w:rsidRDefault="00BC4E28" w:rsidP="00BC4E28">
      <w:pPr>
        <w:pBdr>
          <w:top w:val="nil"/>
          <w:left w:val="nil"/>
          <w:bottom w:val="nil"/>
          <w:right w:val="nil"/>
          <w:between w:val="nil"/>
        </w:pBdr>
        <w:spacing w:line="240" w:lineRule="auto"/>
        <w:ind w:leftChars="0" w:left="0" w:firstLineChars="0" w:firstLine="0"/>
        <w:jc w:val="center"/>
        <w:rPr>
          <w:color w:val="000000"/>
          <w:sz w:val="20"/>
          <w:szCs w:val="20"/>
        </w:rPr>
      </w:pPr>
      <w:r>
        <w:rPr>
          <w:rFonts w:hint="eastAsia"/>
          <w:b/>
          <w:color w:val="000000"/>
          <w:sz w:val="20"/>
          <w:szCs w:val="20"/>
        </w:rPr>
        <w:t>2.</w:t>
      </w:r>
      <w:r w:rsidR="00000000">
        <w:rPr>
          <w:rFonts w:eastAsia="Times New Roman"/>
          <w:b/>
          <w:color w:val="000000"/>
          <w:sz w:val="20"/>
          <w:szCs w:val="20"/>
        </w:rPr>
        <w:t>METHODOLGY</w:t>
      </w:r>
    </w:p>
    <w:p w14:paraId="7A850EE5"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All papers must be submitted electronically in word or pdf format. Prepare your paper using a A4 page size of 210 mm×297 mm (8.27"×11.69"). In formatting your page, set top margin to 25 mm (1") and bottom margin to 25 mm (1"). Left and right margins should be 25 mm (1"). Use a two-column format.</w:t>
      </w:r>
    </w:p>
    <w:p w14:paraId="5D997268" w14:textId="77777777" w:rsidR="00AE57C0" w:rsidRDefault="00AE57C0">
      <w:pPr>
        <w:pBdr>
          <w:top w:val="nil"/>
          <w:left w:val="nil"/>
          <w:bottom w:val="nil"/>
          <w:right w:val="nil"/>
          <w:between w:val="nil"/>
        </w:pBdr>
        <w:spacing w:line="240" w:lineRule="auto"/>
        <w:ind w:left="0" w:hanging="2"/>
        <w:rPr>
          <w:color w:val="000000"/>
          <w:sz w:val="20"/>
          <w:szCs w:val="20"/>
        </w:rPr>
      </w:pPr>
    </w:p>
    <w:p w14:paraId="62C6EC80" w14:textId="241E35C1" w:rsidR="00AE57C0" w:rsidRDefault="00BC4E28" w:rsidP="00BC4E28">
      <w:pPr>
        <w:pBdr>
          <w:top w:val="nil"/>
          <w:left w:val="nil"/>
          <w:bottom w:val="nil"/>
          <w:right w:val="nil"/>
          <w:between w:val="nil"/>
        </w:pBdr>
        <w:spacing w:line="240" w:lineRule="auto"/>
        <w:ind w:leftChars="0" w:left="0" w:firstLineChars="0" w:firstLine="0"/>
        <w:jc w:val="center"/>
        <w:rPr>
          <w:color w:val="000000"/>
          <w:sz w:val="20"/>
          <w:szCs w:val="20"/>
        </w:rPr>
      </w:pPr>
      <w:r>
        <w:rPr>
          <w:rFonts w:hint="eastAsia"/>
          <w:b/>
          <w:smallCaps/>
          <w:color w:val="000000"/>
          <w:sz w:val="20"/>
          <w:szCs w:val="20"/>
        </w:rPr>
        <w:t>3.</w:t>
      </w:r>
      <w:r w:rsidR="00000000">
        <w:rPr>
          <w:rFonts w:eastAsia="Times New Roman"/>
          <w:b/>
          <w:smallCaps/>
          <w:color w:val="000000"/>
          <w:sz w:val="20"/>
          <w:szCs w:val="20"/>
        </w:rPr>
        <w:t>RESULT</w:t>
      </w:r>
    </w:p>
    <w:p w14:paraId="046BD9D9" w14:textId="5C94F784"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b/>
          <w:color w:val="000000"/>
          <w:sz w:val="20"/>
          <w:szCs w:val="20"/>
        </w:rPr>
        <w:t>3.1</w:t>
      </w:r>
      <w:r w:rsidR="00000000">
        <w:rPr>
          <w:rFonts w:eastAsia="Times New Roman"/>
          <w:b/>
          <w:color w:val="000000"/>
          <w:sz w:val="20"/>
          <w:szCs w:val="20"/>
        </w:rPr>
        <w:t>Figures and Tables</w:t>
      </w:r>
    </w:p>
    <w:p w14:paraId="38910A29"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Figure captions should be below the figures. Table captions should be above the tables. Use the abbreviation “Fig.” even at the beginning of a sentence. Large figures and tables may span across both columns.</w:t>
      </w:r>
    </w:p>
    <w:p w14:paraId="2F3FA6CE" w14:textId="77777777" w:rsidR="00AE57C0" w:rsidRDefault="00000000">
      <w:pPr>
        <w:pBdr>
          <w:top w:val="nil"/>
          <w:left w:val="nil"/>
          <w:bottom w:val="nil"/>
          <w:right w:val="nil"/>
          <w:between w:val="nil"/>
        </w:pBdr>
        <w:spacing w:line="240" w:lineRule="auto"/>
        <w:ind w:left="0" w:hanging="2"/>
        <w:jc w:val="center"/>
        <w:rPr>
          <w:color w:val="000000"/>
          <w:sz w:val="20"/>
          <w:szCs w:val="20"/>
        </w:rPr>
      </w:pPr>
      <w:r>
        <w:rPr>
          <w:rFonts w:eastAsia="Times New Roman"/>
          <w:color w:val="000000"/>
          <w:sz w:val="20"/>
          <w:szCs w:val="20"/>
        </w:rPr>
        <w:t>Table 1 Important Dates</w:t>
      </w:r>
    </w:p>
    <w:tbl>
      <w:tblPr>
        <w:tblStyle w:val="aa"/>
        <w:tblW w:w="39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0"/>
        <w:gridCol w:w="1884"/>
      </w:tblGrid>
      <w:tr w:rsidR="00AE57C0" w14:paraId="4E179FB2" w14:textId="77777777">
        <w:trPr>
          <w:trHeight w:val="311"/>
          <w:jc w:val="center"/>
        </w:trPr>
        <w:tc>
          <w:tcPr>
            <w:tcW w:w="2110" w:type="dxa"/>
          </w:tcPr>
          <w:p w14:paraId="37EEF37E"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Online submission system open</w:t>
            </w:r>
          </w:p>
        </w:tc>
        <w:tc>
          <w:tcPr>
            <w:tcW w:w="1884" w:type="dxa"/>
          </w:tcPr>
          <w:p w14:paraId="65000DA0"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January 29, 2023</w:t>
            </w:r>
          </w:p>
        </w:tc>
      </w:tr>
      <w:tr w:rsidR="00AE57C0" w14:paraId="3EDF4731" w14:textId="77777777">
        <w:trPr>
          <w:trHeight w:val="298"/>
          <w:jc w:val="center"/>
        </w:trPr>
        <w:tc>
          <w:tcPr>
            <w:tcW w:w="2110" w:type="dxa"/>
          </w:tcPr>
          <w:p w14:paraId="7B565111"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Full paper submission due</w:t>
            </w:r>
          </w:p>
        </w:tc>
        <w:tc>
          <w:tcPr>
            <w:tcW w:w="1884" w:type="dxa"/>
          </w:tcPr>
          <w:p w14:paraId="3970FE79"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March 31, 2023</w:t>
            </w:r>
          </w:p>
        </w:tc>
      </w:tr>
      <w:tr w:rsidR="00AE57C0" w14:paraId="348B732F" w14:textId="77777777">
        <w:trPr>
          <w:trHeight w:val="324"/>
          <w:jc w:val="center"/>
        </w:trPr>
        <w:tc>
          <w:tcPr>
            <w:tcW w:w="2110" w:type="dxa"/>
          </w:tcPr>
          <w:p w14:paraId="16BAF779"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Notification of Acceptance</w:t>
            </w:r>
          </w:p>
        </w:tc>
        <w:tc>
          <w:tcPr>
            <w:tcW w:w="1884" w:type="dxa"/>
          </w:tcPr>
          <w:p w14:paraId="1DB49A2D"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April 12, 2023</w:t>
            </w:r>
          </w:p>
        </w:tc>
      </w:tr>
      <w:tr w:rsidR="00AE57C0" w14:paraId="15F7299B" w14:textId="77777777">
        <w:trPr>
          <w:trHeight w:val="324"/>
          <w:jc w:val="center"/>
        </w:trPr>
        <w:tc>
          <w:tcPr>
            <w:tcW w:w="2110" w:type="dxa"/>
          </w:tcPr>
          <w:p w14:paraId="64CEACCF"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Authors’ registration &amp; payment</w:t>
            </w:r>
          </w:p>
        </w:tc>
        <w:tc>
          <w:tcPr>
            <w:tcW w:w="1884" w:type="dxa"/>
          </w:tcPr>
          <w:p w14:paraId="67C88020" w14:textId="11D01ED8"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 xml:space="preserve">April </w:t>
            </w:r>
            <w:r w:rsidR="00BC4E28">
              <w:rPr>
                <w:rFonts w:asciiTheme="minorEastAsia" w:hAnsiTheme="minorEastAsia" w:hint="eastAsia"/>
                <w:color w:val="000000"/>
                <w:sz w:val="20"/>
                <w:szCs w:val="20"/>
              </w:rPr>
              <w:t>1</w:t>
            </w:r>
            <w:r>
              <w:rPr>
                <w:rFonts w:eastAsia="Times New Roman"/>
                <w:color w:val="000000"/>
                <w:sz w:val="20"/>
                <w:szCs w:val="20"/>
              </w:rPr>
              <w:t>-</w:t>
            </w:r>
            <w:r w:rsidR="00BC4E28">
              <w:rPr>
                <w:rFonts w:asciiTheme="minorEastAsia" w:hAnsiTheme="minorEastAsia" w:hint="eastAsia"/>
                <w:color w:val="000000"/>
                <w:sz w:val="20"/>
                <w:szCs w:val="20"/>
              </w:rPr>
              <w:t>20</w:t>
            </w:r>
            <w:r>
              <w:rPr>
                <w:rFonts w:eastAsia="Times New Roman"/>
                <w:color w:val="000000"/>
                <w:sz w:val="20"/>
                <w:szCs w:val="20"/>
              </w:rPr>
              <w:t>, 202</w:t>
            </w:r>
            <w:r w:rsidR="00BC4E28">
              <w:rPr>
                <w:rFonts w:asciiTheme="minorEastAsia" w:hAnsiTheme="minorEastAsia" w:hint="eastAsia"/>
                <w:color w:val="000000"/>
                <w:sz w:val="20"/>
                <w:szCs w:val="20"/>
              </w:rPr>
              <w:t>5</w:t>
            </w:r>
          </w:p>
          <w:p w14:paraId="11E8404B" w14:textId="77777777" w:rsidR="00AE57C0" w:rsidRDefault="00AE57C0">
            <w:pPr>
              <w:pBdr>
                <w:top w:val="nil"/>
                <w:left w:val="nil"/>
                <w:bottom w:val="nil"/>
                <w:right w:val="nil"/>
                <w:between w:val="nil"/>
              </w:pBdr>
              <w:spacing w:line="240" w:lineRule="auto"/>
              <w:ind w:left="0" w:hanging="2"/>
              <w:jc w:val="both"/>
              <w:rPr>
                <w:color w:val="000000"/>
                <w:sz w:val="20"/>
                <w:szCs w:val="20"/>
              </w:rPr>
            </w:pPr>
          </w:p>
        </w:tc>
      </w:tr>
      <w:tr w:rsidR="00AE57C0" w14:paraId="7D3AF3F2" w14:textId="77777777">
        <w:trPr>
          <w:trHeight w:val="324"/>
          <w:jc w:val="center"/>
        </w:trPr>
        <w:tc>
          <w:tcPr>
            <w:tcW w:w="2110" w:type="dxa"/>
          </w:tcPr>
          <w:p w14:paraId="4603E72A"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Conference date</w:t>
            </w:r>
          </w:p>
        </w:tc>
        <w:tc>
          <w:tcPr>
            <w:tcW w:w="1884" w:type="dxa"/>
          </w:tcPr>
          <w:p w14:paraId="1EC81784" w14:textId="662081E8"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 xml:space="preserve">May </w:t>
            </w:r>
            <w:r w:rsidR="00BC4E28">
              <w:rPr>
                <w:rFonts w:asciiTheme="minorEastAsia" w:hAnsiTheme="minorEastAsia" w:hint="eastAsia"/>
                <w:color w:val="000000"/>
                <w:sz w:val="20"/>
                <w:szCs w:val="20"/>
              </w:rPr>
              <w:t>9</w:t>
            </w:r>
            <w:r>
              <w:rPr>
                <w:rFonts w:eastAsia="Times New Roman"/>
                <w:color w:val="000000"/>
                <w:sz w:val="20"/>
                <w:szCs w:val="20"/>
              </w:rPr>
              <w:t>, 202</w:t>
            </w:r>
            <w:r w:rsidR="00BC4E28">
              <w:rPr>
                <w:rFonts w:asciiTheme="minorEastAsia" w:hAnsiTheme="minorEastAsia" w:hint="eastAsia"/>
                <w:color w:val="000000"/>
                <w:sz w:val="20"/>
                <w:szCs w:val="20"/>
              </w:rPr>
              <w:t>5</w:t>
            </w:r>
          </w:p>
        </w:tc>
      </w:tr>
    </w:tbl>
    <w:p w14:paraId="59AD98AD" w14:textId="77777777" w:rsidR="00AE57C0" w:rsidRDefault="00000000">
      <w:pPr>
        <w:pBdr>
          <w:top w:val="nil"/>
          <w:left w:val="nil"/>
          <w:bottom w:val="nil"/>
          <w:right w:val="nil"/>
          <w:between w:val="nil"/>
        </w:pBdr>
        <w:spacing w:before="120" w:line="240" w:lineRule="auto"/>
        <w:ind w:left="0" w:hanging="2"/>
        <w:jc w:val="center"/>
        <w:rPr>
          <w:color w:val="000000"/>
        </w:rPr>
      </w:pPr>
      <w:r>
        <w:rPr>
          <w:b/>
          <w:noProof/>
          <w:color w:val="000000"/>
        </w:rPr>
        <w:drawing>
          <wp:inline distT="0" distB="0" distL="114300" distR="114300" wp14:anchorId="6C49CCC0" wp14:editId="6640CC5F">
            <wp:extent cx="1845945" cy="1358265"/>
            <wp:effectExtent l="0" t="0" r="0" b="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845945" cy="1358265"/>
                    </a:xfrm>
                    <a:prstGeom prst="rect">
                      <a:avLst/>
                    </a:prstGeom>
                    <a:ln/>
                  </pic:spPr>
                </pic:pic>
              </a:graphicData>
            </a:graphic>
          </wp:inline>
        </w:drawing>
      </w:r>
    </w:p>
    <w:p w14:paraId="73C71829" w14:textId="77777777" w:rsidR="00AE57C0" w:rsidRDefault="00000000">
      <w:pPr>
        <w:pBdr>
          <w:top w:val="nil"/>
          <w:left w:val="nil"/>
          <w:bottom w:val="nil"/>
          <w:right w:val="nil"/>
          <w:between w:val="nil"/>
        </w:pBdr>
        <w:spacing w:line="240" w:lineRule="auto"/>
        <w:ind w:left="0" w:hanging="2"/>
        <w:jc w:val="center"/>
        <w:rPr>
          <w:color w:val="000000"/>
          <w:sz w:val="20"/>
          <w:szCs w:val="20"/>
        </w:rPr>
      </w:pPr>
      <w:r>
        <w:rPr>
          <w:rFonts w:eastAsia="Times New Roman"/>
          <w:color w:val="000000"/>
          <w:sz w:val="20"/>
          <w:szCs w:val="20"/>
        </w:rPr>
        <w:t>Fig. 1 Photo of Minghsin University of Science and Technology</w:t>
      </w:r>
    </w:p>
    <w:p w14:paraId="37F6CBA4" w14:textId="025FDA2A"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b/>
          <w:color w:val="000000"/>
          <w:sz w:val="20"/>
          <w:szCs w:val="20"/>
        </w:rPr>
        <w:t>3.2</w:t>
      </w:r>
      <w:r w:rsidR="00000000">
        <w:rPr>
          <w:rFonts w:eastAsia="Times New Roman"/>
          <w:b/>
          <w:color w:val="000000"/>
          <w:sz w:val="20"/>
          <w:szCs w:val="20"/>
        </w:rPr>
        <w:t>Equations</w:t>
      </w:r>
    </w:p>
    <w:p w14:paraId="11EF180A" w14:textId="77777777" w:rsidR="00AE57C0" w:rsidRDefault="00000000">
      <w:pPr>
        <w:widowControl/>
        <w:pBdr>
          <w:top w:val="nil"/>
          <w:left w:val="nil"/>
          <w:bottom w:val="nil"/>
          <w:right w:val="nil"/>
          <w:between w:val="nil"/>
        </w:pBdr>
        <w:tabs>
          <w:tab w:val="left" w:pos="340"/>
          <w:tab w:val="left" w:pos="0"/>
        </w:tabs>
        <w:spacing w:line="240" w:lineRule="auto"/>
        <w:ind w:left="0" w:hanging="2"/>
        <w:jc w:val="both"/>
        <w:rPr>
          <w:color w:val="000000"/>
          <w:sz w:val="20"/>
          <w:szCs w:val="20"/>
        </w:rPr>
      </w:pPr>
      <w:r>
        <w:rPr>
          <w:rFonts w:eastAsia="Times New Roman"/>
          <w:color w:val="000000"/>
          <w:sz w:val="20"/>
          <w:szCs w:val="20"/>
        </w:rPr>
        <w:t>Number equations consecutively with equation numbers in parentheses flush with the right margin, as in (1). To make your equations more compact, you may use the solidus ( / ), the exp function, or appropriate exponents. Use a long dash rather than a hyphen for a minus sign. Use parentheses to avoid ambiguities in denominators. Punctuate equations with commas or periods when they are part of a sentence, as in</w:t>
      </w:r>
    </w:p>
    <w:p w14:paraId="1C79F9B9" w14:textId="77777777" w:rsidR="00AE57C0" w:rsidRDefault="00AE57C0">
      <w:pPr>
        <w:pBdr>
          <w:top w:val="nil"/>
          <w:left w:val="nil"/>
          <w:bottom w:val="nil"/>
          <w:right w:val="nil"/>
          <w:between w:val="nil"/>
        </w:pBdr>
        <w:spacing w:line="240" w:lineRule="auto"/>
        <w:ind w:left="0" w:hanging="2"/>
        <w:jc w:val="both"/>
        <w:rPr>
          <w:color w:val="000000"/>
          <w:sz w:val="20"/>
          <w:szCs w:val="20"/>
        </w:rPr>
      </w:pPr>
    </w:p>
    <w:p w14:paraId="0E6DE9A1" w14:textId="77777777" w:rsidR="00AE57C0" w:rsidRDefault="00000000">
      <w:pPr>
        <w:pBdr>
          <w:top w:val="nil"/>
          <w:left w:val="nil"/>
          <w:bottom w:val="nil"/>
          <w:right w:val="nil"/>
          <w:between w:val="nil"/>
        </w:pBdr>
        <w:tabs>
          <w:tab w:val="right" w:pos="4320"/>
        </w:tabs>
        <w:spacing w:line="240" w:lineRule="auto"/>
        <w:ind w:left="0" w:hanging="2"/>
        <w:jc w:val="both"/>
        <w:rPr>
          <w:color w:val="000000"/>
          <w:sz w:val="20"/>
          <w:szCs w:val="20"/>
        </w:rPr>
      </w:pPr>
      <w:r>
        <w:rPr>
          <w:rFonts w:eastAsia="Times New Roman"/>
          <w:color w:val="000000"/>
          <w:sz w:val="20"/>
          <w:szCs w:val="20"/>
        </w:rPr>
        <w:object w:dxaOrig="1920" w:dyaOrig="360" w14:anchorId="5EED44A2">
          <v:shape id="_x0000_s0" o:spid="_x0000_i1025" type="#_x0000_t75" style="width:96pt;height:18pt;visibility:visible" o:ole="">
            <v:imagedata r:id="rId7" o:title=""/>
            <v:path o:extrusionok="t"/>
          </v:shape>
          <o:OLEObject Type="Embed" ShapeID="_x0000_s0" DrawAspect="Content" ObjectID="_1802147453" r:id="rId8"/>
        </w:object>
      </w:r>
      <w:r>
        <w:rPr>
          <w:rFonts w:eastAsia="Times New Roman"/>
          <w:color w:val="000000"/>
          <w:sz w:val="20"/>
          <w:szCs w:val="20"/>
        </w:rPr>
        <w:tab/>
        <w:t>(1)</w:t>
      </w:r>
    </w:p>
    <w:p w14:paraId="29A87A8A" w14:textId="77777777" w:rsidR="00AE57C0" w:rsidRDefault="00AE57C0">
      <w:pPr>
        <w:pBdr>
          <w:top w:val="nil"/>
          <w:left w:val="nil"/>
          <w:bottom w:val="nil"/>
          <w:right w:val="nil"/>
          <w:between w:val="nil"/>
        </w:pBdr>
        <w:spacing w:line="240" w:lineRule="auto"/>
        <w:ind w:left="0" w:hanging="2"/>
        <w:jc w:val="both"/>
        <w:rPr>
          <w:color w:val="000000"/>
          <w:sz w:val="20"/>
          <w:szCs w:val="20"/>
        </w:rPr>
      </w:pPr>
    </w:p>
    <w:p w14:paraId="3F71CAB0" w14:textId="5DFC2CC3" w:rsidR="00AE57C0" w:rsidRDefault="00BC4E28" w:rsidP="00BC4E28">
      <w:pPr>
        <w:pBdr>
          <w:top w:val="nil"/>
          <w:left w:val="nil"/>
          <w:bottom w:val="nil"/>
          <w:right w:val="nil"/>
          <w:between w:val="nil"/>
        </w:pBdr>
        <w:spacing w:line="240" w:lineRule="auto"/>
        <w:ind w:leftChars="0" w:left="0" w:firstLineChars="0" w:firstLine="0"/>
        <w:jc w:val="center"/>
        <w:rPr>
          <w:color w:val="000000"/>
          <w:sz w:val="20"/>
          <w:szCs w:val="20"/>
        </w:rPr>
      </w:pPr>
      <w:r>
        <w:rPr>
          <w:rFonts w:hint="eastAsia"/>
          <w:b/>
          <w:smallCaps/>
          <w:color w:val="000000"/>
          <w:sz w:val="20"/>
          <w:szCs w:val="20"/>
        </w:rPr>
        <w:t>4.</w:t>
      </w:r>
      <w:r w:rsidR="00000000">
        <w:rPr>
          <w:rFonts w:eastAsia="Times New Roman"/>
          <w:b/>
          <w:smallCaps/>
          <w:color w:val="000000"/>
          <w:sz w:val="20"/>
          <w:szCs w:val="20"/>
        </w:rPr>
        <w:t>DISCUSSION</w:t>
      </w:r>
    </w:p>
    <w:p w14:paraId="0B799184"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Number citations consecutively in square brackets [1]. The sentence punctuation follows the bracket [2]. Refer simply to the reference number, as in [3]. Do not use “Ref. [3]” or “reference [3]” except at the beginning of a sentence:</w:t>
      </w:r>
    </w:p>
    <w:p w14:paraId="51D024AF"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 xml:space="preserve">“Reference [3] shows ... .” </w:t>
      </w:r>
    </w:p>
    <w:p w14:paraId="391C1C1A" w14:textId="77777777" w:rsidR="00AE57C0" w:rsidRDefault="00AE57C0">
      <w:pPr>
        <w:pBdr>
          <w:top w:val="nil"/>
          <w:left w:val="nil"/>
          <w:bottom w:val="nil"/>
          <w:right w:val="nil"/>
          <w:between w:val="nil"/>
        </w:pBdr>
        <w:spacing w:line="240" w:lineRule="auto"/>
        <w:ind w:left="0" w:hanging="2"/>
        <w:jc w:val="both"/>
        <w:rPr>
          <w:color w:val="000000"/>
          <w:sz w:val="20"/>
          <w:szCs w:val="20"/>
        </w:rPr>
      </w:pPr>
    </w:p>
    <w:p w14:paraId="066ED2B6" w14:textId="2F57E13A" w:rsidR="00AE57C0" w:rsidRDefault="00BC4E28" w:rsidP="00BC4E28">
      <w:pPr>
        <w:pBdr>
          <w:top w:val="nil"/>
          <w:left w:val="nil"/>
          <w:bottom w:val="nil"/>
          <w:right w:val="nil"/>
          <w:between w:val="nil"/>
        </w:pBdr>
        <w:spacing w:line="240" w:lineRule="auto"/>
        <w:ind w:leftChars="0" w:left="0" w:firstLineChars="0" w:firstLine="0"/>
        <w:jc w:val="center"/>
        <w:rPr>
          <w:color w:val="000000"/>
          <w:sz w:val="20"/>
          <w:szCs w:val="20"/>
        </w:rPr>
      </w:pPr>
      <w:r>
        <w:rPr>
          <w:rFonts w:hint="eastAsia"/>
          <w:b/>
          <w:smallCaps/>
          <w:color w:val="000000"/>
          <w:sz w:val="20"/>
          <w:szCs w:val="20"/>
        </w:rPr>
        <w:t>5.</w:t>
      </w:r>
      <w:r w:rsidR="00000000">
        <w:rPr>
          <w:rFonts w:eastAsia="Times New Roman"/>
          <w:b/>
          <w:smallCaps/>
          <w:color w:val="000000"/>
          <w:sz w:val="20"/>
          <w:szCs w:val="20"/>
        </w:rPr>
        <w:t>CONCLUSION</w:t>
      </w:r>
    </w:p>
    <w:p w14:paraId="64964B9C"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Number footnotes separately in superscripts. Place the actual footnote at the bottom of the column in which it was cited. Do not put footnotes in the reference list. Use letters for table footnotes (see Table I). IEEE Transactions no longer use a journal prefix before the volume number. For example, use “IEEE Trans. Magn., vol. 25,” not “vol. MAG 25.”</w:t>
      </w:r>
    </w:p>
    <w:p w14:paraId="74DF820D"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 xml:space="preserve">Please note that the references at the end of this document are in the preferred referencing style. Give all authors’ names; do not use “et al.” unless there are </w:t>
      </w:r>
      <w:r>
        <w:rPr>
          <w:rFonts w:eastAsia="Times New Roman"/>
          <w:color w:val="000000"/>
          <w:sz w:val="20"/>
          <w:szCs w:val="20"/>
        </w:rPr>
        <w:lastRenderedPageBreak/>
        <w:t xml:space="preserve">six authors or more. Use a space after authors' initials. Papers that have not been published, even if they have been submitted for publication, should be cited as “unpublished” [4]. Papers that have been accepted for publication should be cited as “in press” [5]. </w:t>
      </w:r>
    </w:p>
    <w:p w14:paraId="3D8D1985"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Capitalize only the first word in a paper title, except for proper nouns and element symbols. For papers published in translation journals, please give the English citation first, followed by the original foreign-language citation [6].</w:t>
      </w:r>
    </w:p>
    <w:p w14:paraId="6918D343" w14:textId="77777777" w:rsidR="00AE57C0" w:rsidRDefault="00AE57C0">
      <w:pPr>
        <w:pBdr>
          <w:top w:val="nil"/>
          <w:left w:val="nil"/>
          <w:bottom w:val="nil"/>
          <w:right w:val="nil"/>
          <w:between w:val="nil"/>
        </w:pBdr>
        <w:spacing w:line="240" w:lineRule="auto"/>
        <w:ind w:left="0" w:hanging="2"/>
        <w:jc w:val="both"/>
        <w:rPr>
          <w:color w:val="000000"/>
          <w:sz w:val="20"/>
          <w:szCs w:val="20"/>
        </w:rPr>
      </w:pPr>
    </w:p>
    <w:p w14:paraId="786DAA45" w14:textId="77777777" w:rsidR="00AE57C0" w:rsidRDefault="00000000" w:rsidP="00BC4E28">
      <w:pPr>
        <w:pBdr>
          <w:top w:val="nil"/>
          <w:left w:val="nil"/>
          <w:bottom w:val="nil"/>
          <w:right w:val="nil"/>
          <w:between w:val="nil"/>
        </w:pBdr>
        <w:spacing w:line="240" w:lineRule="auto"/>
        <w:ind w:left="0" w:hanging="2"/>
        <w:jc w:val="center"/>
        <w:rPr>
          <w:color w:val="000000"/>
          <w:sz w:val="20"/>
          <w:szCs w:val="20"/>
        </w:rPr>
      </w:pPr>
      <w:r>
        <w:rPr>
          <w:rFonts w:eastAsia="Times New Roman"/>
          <w:b/>
          <w:color w:val="000000"/>
          <w:sz w:val="20"/>
          <w:szCs w:val="20"/>
        </w:rPr>
        <w:t>ACKNOWLEDGMENT</w:t>
      </w:r>
    </w:p>
    <w:p w14:paraId="222A1FB7" w14:textId="77777777" w:rsidR="00AE57C0"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t>The preferred spelling of the word “acknowledgment” in American English is without an “e” after the “g.” Use the singular heading even if you have many acknowledgments.</w:t>
      </w:r>
    </w:p>
    <w:p w14:paraId="450F72B1" w14:textId="77777777" w:rsidR="00AE57C0" w:rsidRDefault="00AE57C0">
      <w:pPr>
        <w:pBdr>
          <w:top w:val="nil"/>
          <w:left w:val="nil"/>
          <w:bottom w:val="nil"/>
          <w:right w:val="nil"/>
          <w:between w:val="nil"/>
        </w:pBdr>
        <w:spacing w:line="240" w:lineRule="auto"/>
        <w:ind w:left="0" w:hanging="2"/>
        <w:jc w:val="both"/>
        <w:rPr>
          <w:color w:val="000000"/>
          <w:sz w:val="20"/>
          <w:szCs w:val="20"/>
        </w:rPr>
      </w:pPr>
    </w:p>
    <w:p w14:paraId="7CAFC784" w14:textId="77777777" w:rsidR="00AE57C0" w:rsidRDefault="00000000">
      <w:pPr>
        <w:pBdr>
          <w:top w:val="nil"/>
          <w:left w:val="nil"/>
          <w:bottom w:val="nil"/>
          <w:right w:val="nil"/>
          <w:between w:val="nil"/>
        </w:pBdr>
        <w:spacing w:line="240" w:lineRule="auto"/>
        <w:ind w:left="0" w:hanging="2"/>
        <w:jc w:val="center"/>
        <w:rPr>
          <w:color w:val="000000"/>
          <w:sz w:val="20"/>
          <w:szCs w:val="20"/>
        </w:rPr>
      </w:pPr>
      <w:r>
        <w:rPr>
          <w:rFonts w:eastAsia="Times New Roman"/>
          <w:b/>
          <w:color w:val="000000"/>
          <w:sz w:val="20"/>
          <w:szCs w:val="20"/>
        </w:rPr>
        <w:t>REFERENCES</w:t>
      </w:r>
    </w:p>
    <w:p w14:paraId="7E85FD46" w14:textId="7B17D63A"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1.</w:t>
      </w:r>
      <w:r w:rsidR="00000000">
        <w:rPr>
          <w:rFonts w:eastAsia="Times New Roman"/>
          <w:color w:val="000000"/>
          <w:sz w:val="20"/>
          <w:szCs w:val="20"/>
        </w:rPr>
        <w:t>Almeida, D. M. (1990). Fathers’ participation in family work: Consequences for fathers’ stress and father-child relations</w:t>
      </w:r>
      <w:r w:rsidR="00000000">
        <w:rPr>
          <w:rFonts w:eastAsia="Times New Roman"/>
          <w:i/>
          <w:color w:val="000000"/>
          <w:sz w:val="20"/>
          <w:szCs w:val="20"/>
        </w:rPr>
        <w:t>.</w:t>
      </w:r>
      <w:r w:rsidR="00000000">
        <w:rPr>
          <w:rFonts w:eastAsia="Times New Roman"/>
          <w:color w:val="000000"/>
          <w:sz w:val="20"/>
          <w:szCs w:val="20"/>
        </w:rPr>
        <w:t xml:space="preserve"> Unpublished master’s thesis</w:t>
      </w:r>
      <w:r w:rsidR="00000000">
        <w:rPr>
          <w:rFonts w:eastAsia="Times New Roman"/>
          <w:i/>
          <w:color w:val="000000"/>
          <w:sz w:val="20"/>
          <w:szCs w:val="20"/>
        </w:rPr>
        <w:t xml:space="preserve">, </w:t>
      </w:r>
      <w:r w:rsidR="00000000">
        <w:rPr>
          <w:rFonts w:eastAsia="Times New Roman"/>
          <w:color w:val="000000"/>
          <w:sz w:val="20"/>
          <w:szCs w:val="20"/>
        </w:rPr>
        <w:t>University of Victoria, Victoria, British Columbia, Canada.</w:t>
      </w:r>
    </w:p>
    <w:p w14:paraId="75525D0A" w14:textId="10757EE4"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2.</w:t>
      </w:r>
      <w:r w:rsidR="00000000">
        <w:rPr>
          <w:rFonts w:eastAsia="Times New Roman"/>
          <w:color w:val="000000"/>
          <w:sz w:val="20"/>
          <w:szCs w:val="20"/>
        </w:rPr>
        <w:t xml:space="preserve">Barnard, C. I. (1971). </w:t>
      </w:r>
      <w:r w:rsidR="00000000">
        <w:rPr>
          <w:rFonts w:eastAsia="Times New Roman"/>
          <w:b/>
          <w:i/>
          <w:color w:val="000000"/>
          <w:sz w:val="20"/>
          <w:szCs w:val="20"/>
        </w:rPr>
        <w:t>The functions of the executive</w:t>
      </w:r>
      <w:r w:rsidR="00000000">
        <w:rPr>
          <w:rFonts w:eastAsia="Times New Roman"/>
          <w:color w:val="000000"/>
          <w:sz w:val="20"/>
          <w:szCs w:val="20"/>
        </w:rPr>
        <w:t>. Cambridge, MA: Harvard University Press.</w:t>
      </w:r>
    </w:p>
    <w:p w14:paraId="73C83726" w14:textId="1C72F4D9"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3.</w:t>
      </w:r>
      <w:r w:rsidR="00000000">
        <w:rPr>
          <w:rFonts w:eastAsia="Times New Roman"/>
          <w:color w:val="000000"/>
          <w:sz w:val="20"/>
          <w:szCs w:val="20"/>
        </w:rPr>
        <w:t xml:space="preserve">Bjork, R. A. (1989). Retrieval inhibition as an adaptive mechanism in human memory. In H. L. Roediger III &amp; F. M. Craik (Eds.), </w:t>
      </w:r>
      <w:r w:rsidR="00000000">
        <w:rPr>
          <w:rFonts w:eastAsia="Times New Roman"/>
          <w:i/>
          <w:color w:val="000000"/>
          <w:sz w:val="20"/>
          <w:szCs w:val="20"/>
        </w:rPr>
        <w:t>Varieties of memory &amp; consciousness</w:t>
      </w:r>
      <w:r w:rsidR="00000000">
        <w:rPr>
          <w:rFonts w:eastAsia="Times New Roman"/>
          <w:color w:val="000000"/>
          <w:sz w:val="20"/>
          <w:szCs w:val="20"/>
        </w:rPr>
        <w:t xml:space="preserve"> (pp. 309-330). Hillsdale, NJ: Erlbaum.</w:t>
      </w:r>
    </w:p>
    <w:p w14:paraId="62F8AA02" w14:textId="715B32F2"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4.</w:t>
      </w:r>
      <w:r w:rsidR="00000000">
        <w:rPr>
          <w:rFonts w:eastAsia="Times New Roman"/>
          <w:color w:val="000000"/>
          <w:sz w:val="20"/>
          <w:szCs w:val="20"/>
        </w:rPr>
        <w:t>Bordi, F., &amp; LeDoux, J. E. (1993). [Auditory response latencies in rat auditory cortex]. Unpublished raw data.</w:t>
      </w:r>
    </w:p>
    <w:p w14:paraId="789EFCA5" w14:textId="6D76BEE9"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5.</w:t>
      </w:r>
      <w:r w:rsidR="00000000">
        <w:rPr>
          <w:rFonts w:eastAsia="Times New Roman"/>
          <w:color w:val="000000"/>
          <w:sz w:val="20"/>
          <w:szCs w:val="20"/>
        </w:rPr>
        <w:t>Broadhurst, R. G., &amp; Maller, R. A. (1991). Sex offending and recidivism (</w:t>
      </w:r>
      <w:r w:rsidR="00000000">
        <w:rPr>
          <w:rFonts w:eastAsia="Times New Roman"/>
          <w:i/>
          <w:color w:val="000000"/>
          <w:sz w:val="20"/>
          <w:szCs w:val="20"/>
        </w:rPr>
        <w:t>Tech. Rep. No. 3</w:t>
      </w:r>
      <w:r w:rsidR="00000000">
        <w:rPr>
          <w:rFonts w:eastAsia="Times New Roman"/>
          <w:color w:val="000000"/>
          <w:sz w:val="20"/>
          <w:szCs w:val="20"/>
        </w:rPr>
        <w:t>). Nedlands, Western Australia: University of Western Australia, Crime Research Centre.</w:t>
      </w:r>
    </w:p>
    <w:p w14:paraId="064F31B1" w14:textId="747F8145"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6.</w:t>
      </w:r>
      <w:r w:rsidR="00000000">
        <w:rPr>
          <w:rFonts w:eastAsia="Times New Roman"/>
          <w:color w:val="000000"/>
          <w:sz w:val="20"/>
          <w:szCs w:val="20"/>
        </w:rPr>
        <w:t>Hungerford, N. L. (1986). Factors perceived by teachers and administrators as stimulative and supportive of professional growth. Unpublished doctoral dissertation, State University of Michigan, East Lansing, Michigan.</w:t>
      </w:r>
    </w:p>
    <w:p w14:paraId="27320E92" w14:textId="44227DD0"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7.</w:t>
      </w:r>
      <w:r w:rsidR="00000000">
        <w:rPr>
          <w:rFonts w:eastAsia="Times New Roman"/>
          <w:color w:val="000000"/>
          <w:sz w:val="20"/>
          <w:szCs w:val="20"/>
        </w:rPr>
        <w:t xml:space="preserve">Kandel, E. R., &amp; Squire, L. R. (2000, November 10). Neuroscience: Breaking down scientific barriers to the study of brain and mind. </w:t>
      </w:r>
      <w:r w:rsidR="00000000">
        <w:rPr>
          <w:rFonts w:eastAsia="Times New Roman"/>
          <w:i/>
          <w:color w:val="000000"/>
          <w:sz w:val="20"/>
          <w:szCs w:val="20"/>
        </w:rPr>
        <w:t>Science, 290</w:t>
      </w:r>
      <w:r w:rsidR="00000000">
        <w:rPr>
          <w:rFonts w:eastAsia="Times New Roman"/>
          <w:color w:val="000000"/>
          <w:sz w:val="20"/>
          <w:szCs w:val="20"/>
        </w:rPr>
        <w:t>, 1113-1120.</w:t>
      </w:r>
    </w:p>
    <w:p w14:paraId="4665C484" w14:textId="3988EA5C"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8.</w:t>
      </w:r>
      <w:r w:rsidR="00000000">
        <w:rPr>
          <w:rFonts w:eastAsia="Times New Roman"/>
          <w:color w:val="000000"/>
          <w:sz w:val="20"/>
          <w:szCs w:val="20"/>
        </w:rPr>
        <w:t>Lanktree, C., &amp; Briere, J. (1991, January). Early data on the Trauma Symptom Checklist for Children (TSC-C). Paper presented at</w:t>
      </w:r>
      <w:r w:rsidR="00000000">
        <w:rPr>
          <w:rFonts w:eastAsia="Times New Roman"/>
          <w:i/>
          <w:color w:val="000000"/>
          <w:sz w:val="20"/>
          <w:szCs w:val="20"/>
        </w:rPr>
        <w:t xml:space="preserve"> the meeting of American Professional Society on the Abuse of Children</w:t>
      </w:r>
      <w:r w:rsidR="00000000">
        <w:rPr>
          <w:rFonts w:eastAsia="Times New Roman"/>
          <w:color w:val="000000"/>
          <w:sz w:val="20"/>
          <w:szCs w:val="20"/>
        </w:rPr>
        <w:t>, San Diego, CA.</w:t>
      </w:r>
    </w:p>
    <w:p w14:paraId="4930CEC0" w14:textId="3F320D45"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9.</w:t>
      </w:r>
      <w:r w:rsidR="00000000">
        <w:rPr>
          <w:rFonts w:eastAsia="Times New Roman"/>
          <w:color w:val="000000"/>
          <w:sz w:val="20"/>
          <w:szCs w:val="20"/>
        </w:rPr>
        <w:t>Lichstein, K. L., Johnson, R. S., Womack, T. D., Dean, J. E., &amp; Childers, C. K. (1990, June). Relaxation therapy for poly-pharmacy use in elderly insomniacs and noninsomniacs. In T. L. Rosenthal (Chair), Reducing medication in geriatric populations</w:t>
      </w:r>
      <w:r w:rsidR="00000000">
        <w:rPr>
          <w:rFonts w:eastAsia="Times New Roman"/>
          <w:i/>
          <w:color w:val="000000"/>
          <w:sz w:val="20"/>
          <w:szCs w:val="20"/>
        </w:rPr>
        <w:t>.</w:t>
      </w:r>
      <w:r w:rsidR="00000000">
        <w:rPr>
          <w:rFonts w:eastAsia="Times New Roman"/>
          <w:color w:val="000000"/>
          <w:sz w:val="20"/>
          <w:szCs w:val="20"/>
        </w:rPr>
        <w:t xml:space="preserve"> </w:t>
      </w:r>
      <w:r w:rsidR="00000000">
        <w:rPr>
          <w:rFonts w:eastAsia="Times New Roman"/>
          <w:i/>
          <w:color w:val="000000"/>
          <w:sz w:val="20"/>
          <w:szCs w:val="20"/>
        </w:rPr>
        <w:t>Symposium conducted at the meeting of the First International Congress of Behavioral Medicine</w:t>
      </w:r>
      <w:r w:rsidR="00000000">
        <w:rPr>
          <w:rFonts w:eastAsia="Times New Roman"/>
          <w:color w:val="000000"/>
          <w:sz w:val="20"/>
          <w:szCs w:val="20"/>
        </w:rPr>
        <w:t>, Uppsala, Sweden.</w:t>
      </w:r>
    </w:p>
    <w:p w14:paraId="70786A92" w14:textId="18FA80D0"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10.</w:t>
      </w:r>
      <w:r w:rsidR="00000000">
        <w:rPr>
          <w:rFonts w:eastAsia="Times New Roman"/>
          <w:color w:val="000000"/>
          <w:sz w:val="20"/>
          <w:szCs w:val="20"/>
        </w:rPr>
        <w:t xml:space="preserve">Mead, J. V. (1992). Looking at old photographs: Investigating the teacher tales that novice teachers </w:t>
      </w:r>
      <w:r w:rsidR="00000000">
        <w:rPr>
          <w:rFonts w:eastAsia="Times New Roman"/>
          <w:color w:val="000000"/>
          <w:sz w:val="20"/>
          <w:szCs w:val="20"/>
        </w:rPr>
        <w:t>bring with them (Report No. NCRTL-RR-92-4). East Lansing, MI: National Center for Research on Teacher Learning. (ERIC Document Reproduction Service No. ED346082)</w:t>
      </w:r>
    </w:p>
    <w:p w14:paraId="569D668A" w14:textId="2705AF77"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11.</w:t>
      </w:r>
      <w:r w:rsidR="00000000">
        <w:rPr>
          <w:rFonts w:eastAsia="Times New Roman"/>
          <w:color w:val="000000"/>
          <w:sz w:val="20"/>
          <w:szCs w:val="20"/>
        </w:rPr>
        <w:t>National Institute of Mental Health. (1990). Clinical training in serious mental illness (DHHS Publication No. ADM 90-1679). Washington, DC: U.S. Government Printing Office.</w:t>
      </w:r>
    </w:p>
    <w:p w14:paraId="6F738D94" w14:textId="5F9B7A9D"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12.</w:t>
      </w:r>
      <w:r w:rsidR="00000000">
        <w:rPr>
          <w:rFonts w:eastAsia="Times New Roman"/>
          <w:color w:val="000000"/>
          <w:sz w:val="20"/>
          <w:szCs w:val="20"/>
        </w:rPr>
        <w:t xml:space="preserve">New drug appears to sharply cut risk of death from heart failure. (1993, July 15). </w:t>
      </w:r>
      <w:r w:rsidR="00000000">
        <w:rPr>
          <w:rFonts w:eastAsia="Times New Roman"/>
          <w:i/>
          <w:color w:val="000000"/>
          <w:sz w:val="20"/>
          <w:szCs w:val="20"/>
        </w:rPr>
        <w:t>The Washington Post</w:t>
      </w:r>
      <w:r w:rsidR="00000000">
        <w:rPr>
          <w:rFonts w:eastAsia="Times New Roman"/>
          <w:color w:val="000000"/>
          <w:sz w:val="20"/>
          <w:szCs w:val="20"/>
        </w:rPr>
        <w:t>, p. A12.</w:t>
      </w:r>
    </w:p>
    <w:p w14:paraId="3F0B519D" w14:textId="6DC3FBD4"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13.</w:t>
      </w:r>
      <w:r w:rsidR="00000000">
        <w:rPr>
          <w:rFonts w:eastAsia="Times New Roman"/>
          <w:color w:val="000000"/>
          <w:sz w:val="20"/>
          <w:szCs w:val="20"/>
        </w:rPr>
        <w:t xml:space="preserve">Powers, J. M., &amp; Cookson, P. W. Jr. (1999). The politics of school choice research. </w:t>
      </w:r>
      <w:r w:rsidR="00000000">
        <w:rPr>
          <w:rFonts w:eastAsia="Times New Roman"/>
          <w:i/>
          <w:color w:val="000000"/>
          <w:sz w:val="20"/>
          <w:szCs w:val="20"/>
        </w:rPr>
        <w:t>Educational Policy, 13</w:t>
      </w:r>
      <w:r w:rsidR="00000000">
        <w:rPr>
          <w:rFonts w:eastAsia="Times New Roman"/>
          <w:color w:val="000000"/>
          <w:sz w:val="20"/>
          <w:szCs w:val="20"/>
        </w:rPr>
        <w:t>(1), 104-122.</w:t>
      </w:r>
    </w:p>
    <w:p w14:paraId="3046CEC6" w14:textId="32B9B10B"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14.</w:t>
      </w:r>
      <w:r w:rsidR="00000000">
        <w:rPr>
          <w:rFonts w:eastAsia="Times New Roman"/>
          <w:color w:val="000000"/>
          <w:sz w:val="20"/>
          <w:szCs w:val="20"/>
        </w:rPr>
        <w:t xml:space="preserve">Ross, D. F. (1990). Unconscious transference and mistaken identity: When a witness misidentifies of a familiar but innocent person from a lineup (Doctoral dissertation, Cornell University, 1990). </w:t>
      </w:r>
      <w:r w:rsidR="00000000">
        <w:rPr>
          <w:rFonts w:eastAsia="Times New Roman"/>
          <w:i/>
          <w:color w:val="000000"/>
          <w:sz w:val="20"/>
          <w:szCs w:val="20"/>
        </w:rPr>
        <w:t>Dissertation Abstracts International, 51,</w:t>
      </w:r>
      <w:r w:rsidR="00000000">
        <w:rPr>
          <w:rFonts w:eastAsia="Times New Roman"/>
          <w:color w:val="000000"/>
          <w:sz w:val="20"/>
          <w:szCs w:val="20"/>
        </w:rPr>
        <w:t xml:space="preserve"> 417.</w:t>
      </w:r>
    </w:p>
    <w:p w14:paraId="27775A7F" w14:textId="0BD87F93"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15.</w:t>
      </w:r>
      <w:r w:rsidR="00000000">
        <w:rPr>
          <w:rFonts w:eastAsia="Times New Roman"/>
          <w:color w:val="000000"/>
          <w:sz w:val="20"/>
          <w:szCs w:val="20"/>
        </w:rPr>
        <w:t>Ruby, J., &amp; Fulton, C. (1993, June). Beyond redlining: Editing soft-ware that works</w:t>
      </w:r>
      <w:r w:rsidR="00000000">
        <w:rPr>
          <w:rFonts w:eastAsia="Times New Roman"/>
          <w:i/>
          <w:color w:val="000000"/>
          <w:sz w:val="20"/>
          <w:szCs w:val="20"/>
        </w:rPr>
        <w:t>. Poster session presented at the annual meeting of the Society for Scholarly Publishing</w:t>
      </w:r>
      <w:r w:rsidR="00000000">
        <w:rPr>
          <w:rFonts w:eastAsia="Times New Roman"/>
          <w:color w:val="000000"/>
          <w:sz w:val="20"/>
          <w:szCs w:val="20"/>
        </w:rPr>
        <w:t>, Washington, DC.</w:t>
      </w:r>
    </w:p>
    <w:p w14:paraId="28D78870" w14:textId="5D7685ED"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16.</w:t>
      </w:r>
      <w:r w:rsidR="00000000">
        <w:rPr>
          <w:rFonts w:eastAsia="Times New Roman"/>
          <w:color w:val="000000"/>
          <w:sz w:val="20"/>
          <w:szCs w:val="20"/>
        </w:rPr>
        <w:t xml:space="preserve">Schwartz, J. (1993, September 30). Obesity affects economic, social status. </w:t>
      </w:r>
      <w:r w:rsidR="00000000">
        <w:rPr>
          <w:rFonts w:eastAsia="Times New Roman"/>
          <w:i/>
          <w:color w:val="000000"/>
          <w:sz w:val="20"/>
          <w:szCs w:val="20"/>
        </w:rPr>
        <w:t>The Washington Post,</w:t>
      </w:r>
      <w:r w:rsidR="00000000">
        <w:rPr>
          <w:rFonts w:eastAsia="Times New Roman"/>
          <w:color w:val="000000"/>
          <w:sz w:val="20"/>
          <w:szCs w:val="20"/>
        </w:rPr>
        <w:t xml:space="preserve"> pp. A1, A4.</w:t>
      </w:r>
    </w:p>
    <w:p w14:paraId="6F9A0368" w14:textId="06A3B285"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17.</w:t>
      </w:r>
      <w:r w:rsidR="00000000">
        <w:rPr>
          <w:rFonts w:eastAsia="Times New Roman"/>
          <w:color w:val="000000"/>
          <w:sz w:val="20"/>
          <w:szCs w:val="20"/>
        </w:rPr>
        <w:t>U. S. Department of Education (n. d.). The class-size reduction program: Boosting student achievement in schools across the nation—A first year report. Retrieved November 8, 2000, from </w:t>
      </w:r>
      <w:r w:rsidR="00000000" w:rsidRPr="00BC4E28">
        <w:rPr>
          <w:rFonts w:eastAsia="Times New Roman"/>
          <w:color w:val="000000" w:themeColor="text1"/>
          <w:sz w:val="20"/>
          <w:szCs w:val="20"/>
        </w:rPr>
        <w:t xml:space="preserve"> http://www/ed.gov/offices/OESE/ClassSize/.</w:t>
      </w:r>
    </w:p>
    <w:p w14:paraId="02819B01" w14:textId="23C30C8A" w:rsidR="00AE57C0" w:rsidRDefault="00BC4E28" w:rsidP="00BC4E28">
      <w:pPr>
        <w:pBdr>
          <w:top w:val="nil"/>
          <w:left w:val="nil"/>
          <w:bottom w:val="nil"/>
          <w:right w:val="nil"/>
          <w:between w:val="nil"/>
        </w:pBdr>
        <w:spacing w:line="240" w:lineRule="auto"/>
        <w:ind w:leftChars="0" w:left="0" w:firstLineChars="0" w:firstLine="0"/>
        <w:jc w:val="both"/>
        <w:rPr>
          <w:color w:val="000000"/>
          <w:sz w:val="20"/>
          <w:szCs w:val="20"/>
        </w:rPr>
      </w:pPr>
      <w:r>
        <w:rPr>
          <w:rFonts w:hint="eastAsia"/>
          <w:color w:val="000000"/>
          <w:sz w:val="20"/>
          <w:szCs w:val="20"/>
        </w:rPr>
        <w:t>18.</w:t>
      </w:r>
      <w:r w:rsidR="00000000">
        <w:rPr>
          <w:rFonts w:eastAsia="Times New Roman"/>
          <w:color w:val="000000"/>
          <w:sz w:val="20"/>
          <w:szCs w:val="20"/>
        </w:rPr>
        <w:t xml:space="preserve">Wolchik, S. A., West, S. G., Sandler, I. N. Tein, J., Coatsworth, D., Lengua, L., et al. (2000). An experimental evaluation of theory-based mother and mother-child programs for children of divorce. </w:t>
      </w:r>
      <w:r w:rsidR="00000000">
        <w:rPr>
          <w:rFonts w:eastAsia="Times New Roman"/>
          <w:i/>
          <w:color w:val="000000"/>
          <w:sz w:val="20"/>
          <w:szCs w:val="20"/>
        </w:rPr>
        <w:t>Journal of Consulting and Clinical Psychology , 68,</w:t>
      </w:r>
      <w:r w:rsidR="00000000">
        <w:rPr>
          <w:rFonts w:eastAsia="Times New Roman"/>
          <w:color w:val="000000"/>
          <w:sz w:val="20"/>
          <w:szCs w:val="20"/>
        </w:rPr>
        <w:t xml:space="preserve"> 843-856.</w:t>
      </w:r>
    </w:p>
    <w:p w14:paraId="41243055" w14:textId="446B841B" w:rsidR="00AE57C0" w:rsidRDefault="00BC4E28" w:rsidP="00BC4E28">
      <w:pPr>
        <w:pBdr>
          <w:top w:val="nil"/>
          <w:left w:val="nil"/>
          <w:bottom w:val="nil"/>
          <w:right w:val="nil"/>
          <w:between w:val="nil"/>
        </w:pBdr>
        <w:spacing w:line="240" w:lineRule="auto"/>
        <w:ind w:leftChars="0" w:left="0" w:right="316" w:firstLineChars="0" w:firstLine="0"/>
        <w:jc w:val="both"/>
        <w:rPr>
          <w:color w:val="000000"/>
          <w:sz w:val="20"/>
          <w:szCs w:val="20"/>
        </w:rPr>
      </w:pPr>
      <w:r>
        <w:rPr>
          <w:rFonts w:hint="eastAsia"/>
          <w:color w:val="000000"/>
          <w:sz w:val="20"/>
          <w:szCs w:val="20"/>
        </w:rPr>
        <w:t>19.</w:t>
      </w:r>
      <w:r w:rsidR="00000000">
        <w:rPr>
          <w:rFonts w:eastAsia="Times New Roman"/>
          <w:color w:val="000000"/>
          <w:sz w:val="20"/>
          <w:szCs w:val="20"/>
        </w:rPr>
        <w:t xml:space="preserve">Zuckerman, M., &amp; Kieffer, S. C. (in press). Race differences in face-ism. </w:t>
      </w:r>
      <w:r w:rsidR="00000000">
        <w:rPr>
          <w:rFonts w:eastAsia="Times New Roman"/>
          <w:i/>
          <w:color w:val="000000"/>
          <w:sz w:val="20"/>
          <w:szCs w:val="20"/>
        </w:rPr>
        <w:t>Journal of Personality and Social Psychology</w:t>
      </w:r>
      <w:r w:rsidR="00000000">
        <w:rPr>
          <w:rFonts w:eastAsia="Times New Roman"/>
          <w:color w:val="000000"/>
          <w:sz w:val="20"/>
          <w:szCs w:val="20"/>
        </w:rPr>
        <w:t>.</w:t>
      </w:r>
    </w:p>
    <w:sectPr w:rsidR="00AE57C0">
      <w:type w:val="continuous"/>
      <w:pgSz w:w="11906" w:h="16838"/>
      <w:pgMar w:top="1418" w:right="1418" w:bottom="1418" w:left="1418" w:header="851" w:footer="992" w:gutter="0"/>
      <w:cols w:num="2" w:space="720" w:equalWidth="0">
        <w:col w:w="4322" w:space="425"/>
        <w:col w:w="432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35814"/>
    <w:multiLevelType w:val="multilevel"/>
    <w:tmpl w:val="A5B6CA44"/>
    <w:lvl w:ilvl="0">
      <w:start w:val="1"/>
      <w:numFmt w:val="decimal"/>
      <w:lvlText w:val="%1."/>
      <w:lvlJc w:val="left"/>
      <w:pPr>
        <w:ind w:left="480" w:hanging="480"/>
      </w:pPr>
      <w:rPr>
        <w:i w:val="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600B456B"/>
    <w:multiLevelType w:val="multilevel"/>
    <w:tmpl w:val="9FA4C8EA"/>
    <w:lvl w:ilvl="0">
      <w:start w:val="1"/>
      <w:numFmt w:val="decimal"/>
      <w:lvlText w:val="%1."/>
      <w:lvlJc w:val="left"/>
      <w:pPr>
        <w:ind w:left="360" w:hanging="360"/>
      </w:pPr>
      <w:rPr>
        <w:vertAlign w:val="baseline"/>
      </w:rPr>
    </w:lvl>
    <w:lvl w:ilvl="1">
      <w:start w:val="1"/>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040858167">
    <w:abstractNumId w:val="1"/>
  </w:num>
  <w:num w:numId="2" w16cid:durableId="13260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C0"/>
    <w:rsid w:val="0032589E"/>
    <w:rsid w:val="009B29BA"/>
    <w:rsid w:val="00AE57C0"/>
    <w:rsid w:val="00BC4E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0FF8D5"/>
  <w15:docId w15:val="{1C478186-96F3-48DC-990D-0D64A2CB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pPr>
      <w:tabs>
        <w:tab w:val="center" w:pos="4153"/>
        <w:tab w:val="right" w:pos="8306"/>
      </w:tabs>
    </w:pPr>
    <w:rPr>
      <w:sz w:val="20"/>
      <w:szCs w:val="20"/>
    </w:rPr>
  </w:style>
  <w:style w:type="character" w:styleId="a6">
    <w:name w:val="Hyperlink"/>
    <w:rPr>
      <w:color w:val="0000FF"/>
      <w:w w:val="100"/>
      <w:position w:val="-1"/>
      <w:u w:val="single"/>
      <w:effect w:val="none"/>
      <w:vertAlign w:val="baseline"/>
      <w:cs w:val="0"/>
      <w:em w:val="none"/>
    </w:rPr>
  </w:style>
  <w:style w:type="paragraph" w:styleId="a7">
    <w:name w:val="header"/>
    <w:basedOn w:val="a"/>
    <w:pPr>
      <w:tabs>
        <w:tab w:val="center" w:pos="4153"/>
        <w:tab w:val="right" w:pos="8306"/>
      </w:tabs>
    </w:pPr>
    <w:rPr>
      <w:sz w:val="20"/>
      <w:szCs w:val="20"/>
    </w:rPr>
  </w:style>
  <w:style w:type="character" w:customStyle="1" w:styleId="a8">
    <w:name w:val="頁首 字元"/>
    <w:rPr>
      <w:w w:val="100"/>
      <w:kern w:val="2"/>
      <w:position w:val="-1"/>
      <w:effect w:val="none"/>
      <w:vertAlign w:val="baseline"/>
      <w:cs w:val="0"/>
      <w:em w:val="none"/>
    </w:rPr>
  </w:style>
  <w:style w:type="paragraph" w:styleId="20">
    <w:name w:val="Body Text 2"/>
    <w:basedOn w:val="a"/>
    <w:pPr>
      <w:widowControl/>
      <w:tabs>
        <w:tab w:val="left" w:pos="340"/>
      </w:tabs>
      <w:jc w:val="both"/>
    </w:pPr>
    <w:rPr>
      <w:snapToGrid w:val="0"/>
      <w:kern w:val="0"/>
      <w:sz w:val="20"/>
      <w:szCs w:val="20"/>
    </w:rPr>
  </w:style>
  <w:style w:type="character" w:customStyle="1" w:styleId="21">
    <w:name w:val="本文 2 字元"/>
    <w:rPr>
      <w:snapToGrid/>
      <w:w w:val="100"/>
      <w:position w:val="-1"/>
      <w:effect w:val="none"/>
      <w:vertAlign w:val="baseline"/>
      <w:cs w:val="0"/>
      <w:em w:val="none"/>
      <w:lang w:eastAsia="en-US"/>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4SdQnrI+rQJ3xsszcuo8AKPeQ==">CgMxLjAaJQoBMBIgCh4IB0IaCg9UaW1lcyBOZXcgUm9tYW4SB0d1bmdzdWg4AHIhMTJaaG9ET3Q3SmpoSDNTQUVZYnZ5YTZHRFQ2alZkSDRI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文彬 魏</cp:lastModifiedBy>
  <cp:revision>4</cp:revision>
  <dcterms:created xsi:type="dcterms:W3CDTF">2025-02-26T23:39:00Z</dcterms:created>
  <dcterms:modified xsi:type="dcterms:W3CDTF">2025-02-26T23:44:00Z</dcterms:modified>
</cp:coreProperties>
</file>